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e dislocamento delle salme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individuazione dei termini per la traslazione delle salme, d'ufficio o su richiesta dei familiari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Legge regionale - Regolamento Polizia cimiteriale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CA0FEB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1309F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584E9A" w:rsidRDefault="001309F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584E9A" w:rsidRDefault="001309FA">
            <w:pPr>
              <w:jc w:val="both"/>
            </w:pPr>
            <w:r>
              <w:rPr>
                <w:rFonts w:ascii="Arial" w:hAnsi="Arial"/>
              </w:rPr>
              <w:t>- Tutela giurisdizionale: ricorso al TAR entro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1309FA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09FA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84E9A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0FE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2026-06-15T15:33:00Z</dcterms:modified>
</cp:coreProperties>
</file>